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BAYSHORE JOINTURE COMMISSION</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Regular Monthly Meeting</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100 Tornillo Way</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Tinton Falls, New Jersey 07712</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October 27, 2021</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Bayshore Jointure Commission met in regular session on October 27, 2021, at 8:00 A.M.</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were present: Mrs. Amanda Lewert, Mr. Scott McCue, Mr. Jared Rummage, Ms. Jennifer Zona, Dr. Tara Beams, Ms. Mary Ellen Walker, Ms. Kathleen O-Hara, Dr. Lisa Savoia (arrived at 8:05), Mr. Joseph Annibale, Dr. William O. George, and Mr. Christopher Mullins.</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 Mr. Annibale opened the meeting at 8:00 A.M.</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of the “Meeting Notice” Mr. Annibale read the following “Meeting Notice” in accordance with the Open Public Meeting Law: PURSUANT TO THE REQUIREMENTS OF STATUTE (N.J.S.A. 10:49 ET SEQ.), OTHERWISE KNOWN AS THE “SUNSHINE LAW,” ADEQUATE NOTICE OF THIS MEETING HAS BEEN PROVIDED THAT THE BAYSHORE JOINTURE COMMISSION BOARD OF DIRECTORS WOULD BE HOLDING ITS REGULAR MEETING TODAY, WHICH SPECIFIED THE DATE, TIME AND PLACE OF ITS MEETING. SUCH NOTICE WAS PRINTED AS PART OF THE ANNUAL MEETING NOTICE REQUIREMENT OF THE LAW IN THE OFFICIAL NEWSPAPER OF THE COMMISSION FOLLOWING THE REORGANIZATION MEETING OF THE COMMISSION. THE MEETING NOTICE HAS ALSO BEEN POSTED PUBLICLY AT DISTRICT FACILITIES AND SENT TO ALL MEMBER DISTRICTS BY ELECTRONIC MAIL AND BY REGULAR MAIL TO THE COUNTY CLERK OF THE COUNTY OF MONMOUTH AND ALL OTHERS ON THE COMMISSION’S NOTICE REQUEST LIST. IN SUCH NOTICE IT WAS STATED THAT ACTION MAY BE TAKEN ON ALL AGENDA ITEMS AND SUCH OTHER ITEMS THAT MAY COME BEFORE THE COMMISSION AT THAT TIME.</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Financials</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Dr. Beams, seconded by Dr. Rumage and unanimously adopted by a roll call vote to accept the financials and approve the payment of bills.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Ms. O’Hara, yes; and Mr. Annibale, yes.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School Business Administrator’s Monthly Certification of Financial Status</w:t>
      </w:r>
      <w:r w:rsidDel="00000000" w:rsidR="00000000" w:rsidRPr="00000000">
        <w:rPr>
          <w:rtl w:val="0"/>
        </w:rPr>
      </w:r>
    </w:p>
    <w:p w:rsidR="00000000" w:rsidDel="00000000" w:rsidP="00000000" w:rsidRDefault="00000000" w:rsidRPr="00000000" w14:paraId="00000016">
      <w:pPr>
        <w:spacing w:line="240" w:lineRule="auto"/>
        <w:ind w:left="100" w:firstLine="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color w:val="000000"/>
          <w:sz w:val="24"/>
          <w:szCs w:val="24"/>
          <w:rtl w:val="0"/>
        </w:rPr>
        <w:t xml:space="preserve">Pursuant to N.J.A.C. 6A:23A-16.10 (c)3, the Bayshore Jointure Commission Board of Directors accepts the Board Secretary/School Business Administrators Certification for the months ending September 30, 2021 and that no line-item account has been over expended in violation of N.J.A.C. 6A:23A-16.10 (b) and that funds are available for the remainder of the fiscal school year.</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A">
      <w:pPr>
        <w:spacing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Monthly Certification of Financial Status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B">
      <w:pPr>
        <w:spacing w:line="240" w:lineRule="auto"/>
        <w:ind w:left="1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Pursuant to N.J.A.C.6A:23A-16.10 (c)4, the members of the Bayshore Jointure Commission Board of Directors certify that for the months after review of the September 30, 2021. Reports of the Secretary to the Board of Directors and upon consultation with the appropriate district officials, that to the best of our knowledge, no major account or fund has been over expended in violation of N.J.A.C. 6A:23A-16.10 (b) and that sufficient funds are available for the remainder of the fiscal school year. </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spacing w:line="240" w:lineRule="auto"/>
        <w:ind w:lef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Payment of Bills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approve the list of bills, claims, supplies received, and services rendered to the Board of Directors of the Bayshore Jointure Commission: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Payroll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9/15/21  Gross Wages            $  122,866.15</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9/30/21  Gross Wages            $  126,164.69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single"/>
          <w:vertAlign w:val="baseline"/>
          <w:rtl w:val="0"/>
        </w:rPr>
        <w:t xml:space="preserve">Health Benefits</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tab/>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October                                  $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64,401.64</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Bill List</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10/27/21</w:t>
      </w:r>
      <w:r w:rsidDel="00000000" w:rsidR="00000000" w:rsidRPr="00000000">
        <w:rPr>
          <w:rFonts w:ascii="Times New Roman" w:cs="Times New Roman" w:eastAsia="Times New Roman" w:hAnsi="Times New Roman"/>
          <w:b w:val="0"/>
          <w:i w:val="0"/>
          <w:smallCaps w:val="0"/>
          <w:strike w:val="0"/>
          <w:color w:val="ff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    97,857.50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tab/>
        <w:tab/>
        <w:t xml:space="preserve"> </w:t>
        <w:tab/>
        <w:tab/>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TOTAL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$ 411,289.98</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color w:val="000000"/>
          <w:sz w:val="24"/>
          <w:szCs w:val="24"/>
          <w:highlight w:val="white"/>
          <w:u w:val="single"/>
        </w:rPr>
      </w:pPr>
      <w:r w:rsidDel="00000000" w:rsidR="00000000" w:rsidRPr="00000000">
        <w:rPr>
          <w:rFonts w:ascii="Times New Roman" w:cs="Times New Roman" w:eastAsia="Times New Roman" w:hAnsi="Times New Roman"/>
          <w:b w:val="1"/>
          <w:color w:val="000000"/>
          <w:sz w:val="24"/>
          <w:szCs w:val="24"/>
          <w:highlight w:val="white"/>
          <w:u w:val="single"/>
          <w:rtl w:val="0"/>
        </w:rPr>
        <w:t xml:space="preserve">CORRESPONDENCE</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Information and Discussion</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Linda Jordan gave an update on the school activities. Mr. Mullins provided a June 30, 2021 year-end audit update and recommended issuing a CAFR with a modified opinion.</w:t>
      </w:r>
    </w:p>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Dr. Savoia, seconded by Dr. Beams, and unanimously adopted by a roll call vote to accept A1-A7 and A9-A12.</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Ms. O’Hara, yes; Dr. Savoia, yes; and Mr. Annibale, yes.</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affirm the August 2021 HIB report as previously reported.</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A2. </w:t>
      </w:r>
      <w:r w:rsidDel="00000000" w:rsidR="00000000" w:rsidRPr="00000000">
        <w:rPr>
          <w:rFonts w:ascii="Times New Roman" w:cs="Times New Roman" w:eastAsia="Times New Roman" w:hAnsi="Times New Roman"/>
          <w:color w:val="000000"/>
          <w:sz w:val="24"/>
          <w:szCs w:val="24"/>
          <w:rtl w:val="0"/>
        </w:rPr>
        <w:t xml:space="preserve">     To accept and approve the HIB report for September 2021</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49.0" w:type="dxa"/>
        <w:jc w:val="left"/>
        <w:tblInd w:w="0.0" w:type="dxa"/>
        <w:tblLayout w:type="fixed"/>
        <w:tblLook w:val="0400"/>
      </w:tblPr>
      <w:tblGrid>
        <w:gridCol w:w="1485"/>
        <w:gridCol w:w="855"/>
        <w:gridCol w:w="1272"/>
        <w:gridCol w:w="875"/>
        <w:gridCol w:w="903"/>
        <w:gridCol w:w="780"/>
        <w:gridCol w:w="915"/>
        <w:gridCol w:w="1000"/>
        <w:gridCol w:w="1264"/>
        <w:tblGridChange w:id="0">
          <w:tblGrid>
            <w:gridCol w:w="1485"/>
            <w:gridCol w:w="855"/>
            <w:gridCol w:w="1272"/>
            <w:gridCol w:w="875"/>
            <w:gridCol w:w="903"/>
            <w:gridCol w:w="780"/>
            <w:gridCol w:w="915"/>
            <w:gridCol w:w="1000"/>
            <w:gridCol w:w="1264"/>
          </w:tblGrid>
        </w:tblGridChange>
      </w:tblGrid>
      <w:tr>
        <w:trPr>
          <w:cantSplit w:val="0"/>
          <w:trHeight w:val="756"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3B">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Number    of        Reports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3C">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Number of Reports where HIB occurred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3D">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Status of all      investigations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3E">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Nature of the   bullying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3F">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Investigator’s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0">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Type &amp; nature of discipline imposed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1">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Any other  measures imposed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2">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Training conducted to reduce HIB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3">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Programs</w:t>
            </w:r>
            <w:r w:rsidDel="00000000" w:rsidR="00000000" w:rsidRPr="00000000">
              <w:rPr>
                <w:rtl w:val="0"/>
              </w:rPr>
            </w:r>
          </w:p>
          <w:p w:rsidR="00000000" w:rsidDel="00000000" w:rsidP="00000000" w:rsidRDefault="00000000" w:rsidRPr="00000000" w14:paraId="00000044">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implemented to reduce HIB</w:t>
            </w:r>
            <w:r w:rsidDel="00000000" w:rsidR="00000000" w:rsidRPr="00000000">
              <w:rPr>
                <w:rtl w:val="0"/>
              </w:rPr>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5">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6">
            <w:pPr>
              <w:spacing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7">
            <w:pPr>
              <w:spacing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8">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9">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A">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B">
            <w:pPr>
              <w:spacing w:line="480" w:lineRule="auto"/>
              <w:ind w:left="-100" w:right="-16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C">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Series of online trainings which  include:</w:t>
            </w:r>
            <w:r w:rsidDel="00000000" w:rsidR="00000000" w:rsidRPr="00000000">
              <w:rPr>
                <w:rtl w:val="0"/>
              </w:rPr>
            </w:r>
          </w:p>
          <w:p w:rsidR="00000000" w:rsidDel="00000000" w:rsidP="00000000" w:rsidRDefault="00000000" w:rsidRPr="00000000" w14:paraId="0000004D">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Conflict Resolution</w:t>
            </w:r>
            <w:r w:rsidDel="00000000" w:rsidR="00000000" w:rsidRPr="00000000">
              <w:rPr>
                <w:rtl w:val="0"/>
              </w:rPr>
            </w:r>
          </w:p>
          <w:p w:rsidR="00000000" w:rsidDel="00000000" w:rsidP="00000000" w:rsidRDefault="00000000" w:rsidRPr="00000000" w14:paraId="0000004E">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F">
            <w:pPr>
              <w:spacing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Programming</w:t>
            </w:r>
            <w:r w:rsidDel="00000000" w:rsidR="00000000" w:rsidRPr="00000000">
              <w:rPr>
                <w:rtl w:val="0"/>
              </w:rPr>
            </w:r>
          </w:p>
          <w:p w:rsidR="00000000" w:rsidDel="00000000" w:rsidP="00000000" w:rsidRDefault="00000000" w:rsidRPr="00000000" w14:paraId="00000050">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Focusing on: </w:t>
            </w:r>
            <w:r w:rsidDel="00000000" w:rsidR="00000000" w:rsidRPr="00000000">
              <w:rPr>
                <w:rtl w:val="0"/>
              </w:rPr>
            </w:r>
          </w:p>
          <w:p w:rsidR="00000000" w:rsidDel="00000000" w:rsidP="00000000" w:rsidRDefault="00000000" w:rsidRPr="00000000" w14:paraId="00000051">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Positive Behavior</w:t>
            </w:r>
            <w:r w:rsidDel="00000000" w:rsidR="00000000" w:rsidRPr="00000000">
              <w:rPr>
                <w:rtl w:val="0"/>
              </w:rPr>
            </w:r>
          </w:p>
          <w:p w:rsidR="00000000" w:rsidDel="00000000" w:rsidP="00000000" w:rsidRDefault="00000000" w:rsidRPr="00000000" w14:paraId="00000052">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Week of Respect</w:t>
            </w:r>
            <w:r w:rsidDel="00000000" w:rsidR="00000000" w:rsidRPr="00000000">
              <w:rPr>
                <w:rtl w:val="0"/>
              </w:rPr>
            </w:r>
          </w:p>
        </w:tc>
      </w:tr>
    </w:tbl>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To approve the following 2021-2022 Community Based Learning Field Trip/Job Sampling*:</w:t>
      </w:r>
      <w:r w:rsidDel="00000000" w:rsidR="00000000" w:rsidRPr="00000000">
        <w:rPr>
          <w:rtl w:val="0"/>
        </w:rPr>
      </w:r>
    </w:p>
    <w:tbl>
      <w:tblPr>
        <w:tblStyle w:val="Table2"/>
        <w:tblW w:w="9340.0" w:type="dxa"/>
        <w:jc w:val="left"/>
        <w:tblInd w:w="0.0" w:type="dxa"/>
        <w:tblLayout w:type="fixed"/>
        <w:tblLook w:val="0400"/>
      </w:tblPr>
      <w:tblGrid>
        <w:gridCol w:w="2474"/>
        <w:gridCol w:w="6866"/>
        <w:tblGridChange w:id="0">
          <w:tblGrid>
            <w:gridCol w:w="2474"/>
            <w:gridCol w:w="686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LOCATIONS</w:t>
            </w:r>
            <w:r w:rsidDel="00000000" w:rsidR="00000000" w:rsidRPr="00000000">
              <w:rPr>
                <w:rtl w:val="0"/>
              </w:rPr>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Monday through Thursday</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Job Sampling*</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November 1-December 23, 2021</w:t>
            </w: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Monday through Wednesday</w:t>
            </w: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Shopping^</w:t>
            </w: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November 1-December 23,2021</w:t>
            </w: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Walmart (shopping)^                                       TGIFridays  (job sampling)*                                                                   </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353  Rte. 537                                                      180 NJ-35 suite 6000</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Neptune, NJ.                                                      Eatontown, NJ.                                                         </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Five Below (job sampling)*                             Costco (shopping)^            </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310   Hwy. 36                                                     Hwy. 66.                                  </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W. Long Branch, NJ.                                          Neptune, NJ.       </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Bed Bath &amp; Beyond (job sampling)*             Applebee’s (job sampling) *        </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96 Hwy 36                                                          14 Park Rd.                                             </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Eatontown NJ.                                                   Tinton Falls, NJ.  </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Riding High Farm (job sampling)*</w:t>
            </w: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145 County RD. 526</w:t>
            </w: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Allentown, NJ.                                          </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Monmouth Mall Food court 10/25/21 (Lunch)</w:t>
            </w:r>
            <w:r w:rsidDel="00000000" w:rsidR="00000000" w:rsidRPr="00000000">
              <w:rPr>
                <w:rtl w:val="0"/>
              </w:rPr>
            </w:r>
          </w:p>
        </w:tc>
      </w:tr>
    </w:tbl>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A4.    </w:t>
      </w:r>
      <w:r w:rsidDel="00000000" w:rsidR="00000000" w:rsidRPr="00000000">
        <w:rPr>
          <w:rFonts w:ascii="Times New Roman" w:cs="Times New Roman" w:eastAsia="Times New Roman" w:hAnsi="Times New Roman"/>
          <w:color w:val="000000"/>
          <w:sz w:val="24"/>
          <w:szCs w:val="24"/>
          <w:rtl w:val="0"/>
        </w:rPr>
        <w:t xml:space="preserve">To recommend the Board of Directors approve/ratify attendance at the below listed workshops, for the individuals listed at the costs indicated.  Said travel is directly related to and within the scope of the current responsibilities of the listed employees, is critical to the instructional needs of the district, will improve the participant’s skills and knowledge, or further the efficient operations of the district.  The costs associated with attendance are</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statutorily authorized travel expenditures and are within the annual maximum travel expenditure amount of the commission.   </w:t>
      </w:r>
      <w:r w:rsidDel="00000000" w:rsidR="00000000" w:rsidRPr="00000000">
        <w:rPr>
          <w:rtl w:val="0"/>
        </w:rPr>
      </w:r>
    </w:p>
    <w:tbl>
      <w:tblPr>
        <w:tblStyle w:val="Table3"/>
        <w:tblW w:w="9344.0" w:type="dxa"/>
        <w:jc w:val="left"/>
        <w:tblInd w:w="0.0" w:type="dxa"/>
        <w:tblLayout w:type="fixed"/>
        <w:tblLook w:val="0400"/>
      </w:tblPr>
      <w:tblGrid>
        <w:gridCol w:w="4403"/>
        <w:gridCol w:w="2496"/>
        <w:gridCol w:w="1605"/>
        <w:gridCol w:w="840"/>
        <w:tblGridChange w:id="0">
          <w:tblGrid>
            <w:gridCol w:w="4403"/>
            <w:gridCol w:w="2496"/>
            <w:gridCol w:w="1605"/>
            <w:gridCol w:w="84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72">
            <w:pPr>
              <w:spacing w:line="480" w:lineRule="auto"/>
              <w:ind w:left="-880" w:right="-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shd w:fill="cccccc" w:val="clear"/>
                <w:rtl w:val="0"/>
              </w:rPr>
              <w:t xml:space="preserve">NAME            NAME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73">
            <w:pPr>
              <w:spacing w:line="480" w:lineRule="auto"/>
              <w:ind w:left="-880" w:right="-980" w:firstLine="0"/>
              <w:rPr>
                <w:rFonts w:ascii="Times New Roman" w:cs="Times New Roman" w:eastAsia="Times New Roman" w:hAnsi="Times New Roman"/>
                <w:sz w:val="24"/>
                <w:szCs w:val="24"/>
              </w:rPr>
            </w:pPr>
            <w:r w:rsidDel="00000000" w:rsidR="00000000" w:rsidRPr="00000000">
              <w:rPr>
                <w:b w:val="1"/>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CONFERENCE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74">
            <w:pPr>
              <w:spacing w:line="480" w:lineRule="auto"/>
              <w:ind w:left="-880" w:right="-980" w:firstLine="0"/>
              <w:rPr>
                <w:rFonts w:ascii="Times New Roman" w:cs="Times New Roman" w:eastAsia="Times New Roman" w:hAnsi="Times New Roman"/>
                <w:sz w:val="24"/>
                <w:szCs w:val="24"/>
              </w:rPr>
            </w:pPr>
            <w:r w:rsidDel="00000000" w:rsidR="00000000" w:rsidRPr="00000000">
              <w:rPr>
                <w:b w:val="1"/>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75">
            <w:pPr>
              <w:spacing w:line="480" w:lineRule="auto"/>
              <w:ind w:left="-880" w:right="-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shd w:fill="cccccc" w:val="clear"/>
                <w:rtl w:val="0"/>
              </w:rPr>
              <w:t xml:space="preserve">COST      </w:t>
            </w:r>
            <w:r w:rsidDel="00000000" w:rsidR="00000000" w:rsidRPr="00000000">
              <w:rPr>
                <w:rFonts w:ascii="Times New Roman" w:cs="Times New Roman" w:eastAsia="Times New Roman" w:hAnsi="Times New Roman"/>
                <w:b w:val="1"/>
                <w:color w:val="000000"/>
                <w:sz w:val="16"/>
                <w:szCs w:val="16"/>
                <w:shd w:fill="cccccc" w:val="clear"/>
                <w:rtl w:val="0"/>
              </w:rPr>
              <w:t xml:space="preserve">COST </w:t>
            </w:r>
            <w:r w:rsidDel="00000000" w:rsidR="00000000" w:rsidRPr="00000000">
              <w:rPr>
                <w:rFonts w:ascii="Times New Roman" w:cs="Times New Roman" w:eastAsia="Times New Roman" w:hAnsi="Times New Roman"/>
                <w:b w:val="1"/>
                <w:color w:val="000000"/>
                <w:sz w:val="18"/>
                <w:szCs w:val="18"/>
                <w:shd w:fill="cccccc" w:val="clear"/>
                <w:rtl w:val="0"/>
              </w:rPr>
              <w:t xml:space="preserve"> </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Lisa D’Antoni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Managing the New Normal (virtual)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October 14,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$0</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Linda Jordan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New Jersey Principals Assoc.</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5000 Kozloski Rd.</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Freehold, NJ.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October 1, 2021</w:t>
            </w: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December 1, 2021</w:t>
            </w: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February 1, 2022</w:t>
            </w: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April 1,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0"/>
                <w:szCs w:val="20"/>
                <w:rtl w:val="0"/>
              </w:rPr>
              <w:t xml:space="preserve">$27.04 (all )</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0"/>
                <w:szCs w:val="20"/>
                <w:rtl w:val="0"/>
              </w:rPr>
              <w:t xml:space="preserve">($6.76 ea.)</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Linda Jordan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Monmouth County Curriculum Consortium</w:t>
            </w: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Holmdel NJ.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October 15,2021</w:t>
            </w: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November 12, 2021*</w:t>
            </w: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December 17, 2021</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January 28, 2022</w:t>
            </w: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February 11, 2022*</w:t>
            </w: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March 25, 2022</w:t>
            </w: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April 8, 2022</w:t>
            </w: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May 6, 2022</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June 3,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0"/>
                <w:szCs w:val="20"/>
                <w:rtl w:val="0"/>
              </w:rPr>
              <w:t xml:space="preserve">$75.60 (all)</w:t>
            </w: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0"/>
                <w:szCs w:val="20"/>
                <w:rtl w:val="0"/>
              </w:rPr>
              <w:t xml:space="preserve">($8.40 ea.)</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Danielle Rose</w:t>
            </w: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Shannon Rose</w:t>
            </w: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Chris Zeller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Autism NJ Conference-Virtual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October 21-22,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$149.00 each</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Joe Salerno</w:t>
            </w: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Edward Reilly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Teaching Students with Autism-Virtual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October 20,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$0.00</w:t>
            </w:r>
            <w:r w:rsidDel="00000000" w:rsidR="00000000" w:rsidRPr="00000000">
              <w:rPr>
                <w:rtl w:val="0"/>
              </w:rPr>
            </w:r>
          </w:p>
        </w:tc>
      </w:tr>
    </w:tbl>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color w:val="000000"/>
          <w:sz w:val="24"/>
          <w:szCs w:val="24"/>
          <w:rtl w:val="0"/>
        </w:rPr>
        <w:tab/>
      </w: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A5.</w:t>
      </w:r>
      <w:r w:rsidDel="00000000" w:rsidR="00000000" w:rsidRPr="00000000">
        <w:rPr>
          <w:rFonts w:ascii="Times New Roman" w:cs="Times New Roman" w:eastAsia="Times New Roman" w:hAnsi="Times New Roman"/>
          <w:color w:val="000000"/>
          <w:rtl w:val="0"/>
        </w:rPr>
        <w:t xml:space="preserve">     To accept the </w:t>
      </w:r>
      <w:r w:rsidDel="00000000" w:rsidR="00000000" w:rsidRPr="00000000">
        <w:rPr>
          <w:rFonts w:ascii="Times New Roman" w:cs="Times New Roman" w:eastAsia="Times New Roman" w:hAnsi="Times New Roman"/>
          <w:b w:val="1"/>
          <w:color w:val="000000"/>
          <w:rtl w:val="0"/>
        </w:rPr>
        <w:t xml:space="preserve">2020-2021</w:t>
      </w:r>
      <w:r w:rsidDel="00000000" w:rsidR="00000000" w:rsidRPr="00000000">
        <w:rPr>
          <w:rFonts w:ascii="Times New Roman" w:cs="Times New Roman" w:eastAsia="Times New Roman" w:hAnsi="Times New Roman"/>
          <w:b w:val="1"/>
          <w:i w:val="1"/>
          <w:color w:val="000000"/>
          <w:rtl w:val="0"/>
        </w:rPr>
        <w:t xml:space="preserve"> School Self-Assessment Statement of Assurance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ab/>
      </w: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A6.   </w:t>
      </w:r>
      <w:r w:rsidDel="00000000" w:rsidR="00000000" w:rsidRPr="00000000">
        <w:rPr>
          <w:rFonts w:ascii="Times New Roman" w:cs="Times New Roman" w:eastAsia="Times New Roman" w:hAnsi="Times New Roman"/>
          <w:color w:val="000000"/>
          <w:rtl w:val="0"/>
        </w:rPr>
        <w:t xml:space="preserve">To re-approve the following Updated Emergency District Closure Plan 2021-2022 </w:t>
      </w: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A7.</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color w:val="000000"/>
          <w:rtl w:val="0"/>
        </w:rPr>
        <w:t xml:space="preserve">To approve the</w:t>
      </w:r>
      <w:r w:rsidDel="00000000" w:rsidR="00000000" w:rsidRPr="00000000">
        <w:rPr>
          <w:rFonts w:ascii="Times New Roman" w:cs="Times New Roman" w:eastAsia="Times New Roman" w:hAnsi="Times New Roman"/>
          <w:b w:val="1"/>
          <w:color w:val="000000"/>
          <w:rtl w:val="0"/>
        </w:rPr>
        <w:t xml:space="preserve"> First </w:t>
      </w:r>
      <w:r w:rsidDel="00000000" w:rsidR="00000000" w:rsidRPr="00000000">
        <w:rPr>
          <w:rFonts w:ascii="Times New Roman" w:cs="Times New Roman" w:eastAsia="Times New Roman" w:hAnsi="Times New Roman"/>
          <w:color w:val="000000"/>
          <w:rtl w:val="0"/>
        </w:rPr>
        <w:t xml:space="preserve">reading of New and Revised Policies and Regulations:</w:t>
      </w: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8235.0" w:type="dxa"/>
        <w:jc w:val="left"/>
        <w:tblInd w:w="0.0" w:type="dxa"/>
        <w:tblLayout w:type="fixed"/>
        <w:tblLook w:val="0400"/>
      </w:tblPr>
      <w:tblGrid>
        <w:gridCol w:w="1545"/>
        <w:gridCol w:w="6690"/>
        <w:tblGridChange w:id="0">
          <w:tblGrid>
            <w:gridCol w:w="1545"/>
            <w:gridCol w:w="66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P2422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Comprehensive Health and Physical Education (M) (Revised)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P2467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Surrogate Parents and Resource Family Parents (M) (Revised)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P5111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Eligibility of Resident/Nonresident Students (M) (Revised)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P5116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Education of Homeless Children (Revised)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 &amp; R 7432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Eye Protection (M) (Revised)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P8420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Emergency and Crisis Situations (M) (Revised)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R8420.1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Fire and Fire Drills (M) (Revised)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P8540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School Nutrition Programs (M) (Revised)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P8550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Meal Charges/Outstanding Food Service Bill (M) (Revised)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P8600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Student Transportation (M) (Revised)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P6115.01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Federal Awards/Funds Internal Controls - Allowability of Costs (M) (New)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P6115.02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Federal Awards/Funds Internal Controls - Mandatory Disclosures (M) (New)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P6115.03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Federal Awards/Funds Internal Controls - Conflict of Interest (M) (New)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P6311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Contracts for Goods or Services Funded by Federal Grants (M) (Revised)</w:t>
            </w:r>
            <w:r w:rsidDel="00000000" w:rsidR="00000000" w:rsidRPr="00000000">
              <w:rPr>
                <w:rtl w:val="0"/>
              </w:rPr>
            </w:r>
          </w:p>
        </w:tc>
      </w:tr>
    </w:tbl>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A9.    </w:t>
      </w:r>
      <w:r w:rsidDel="00000000" w:rsidR="00000000" w:rsidRPr="00000000">
        <w:rPr>
          <w:rFonts w:ascii="Times New Roman" w:cs="Times New Roman" w:eastAsia="Times New Roman" w:hAnsi="Times New Roman"/>
          <w:color w:val="000000"/>
          <w:sz w:val="24"/>
          <w:szCs w:val="24"/>
          <w:rtl w:val="0"/>
        </w:rPr>
        <w:t xml:space="preserve">To Approve Annual IPM Policy for Bayshore Jointure Commission.</w:t>
      </w: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A10.   </w:t>
      </w:r>
      <w:r w:rsidDel="00000000" w:rsidR="00000000" w:rsidRPr="00000000">
        <w:rPr>
          <w:rFonts w:ascii="Times New Roman" w:cs="Times New Roman" w:eastAsia="Times New Roman" w:hAnsi="Times New Roman"/>
          <w:color w:val="000000"/>
          <w:sz w:val="24"/>
          <w:szCs w:val="24"/>
          <w:rtl w:val="0"/>
        </w:rPr>
        <w:t xml:space="preserve">To approve the removal of surplus items from Bayshore Jointure Commission as follows:</w:t>
      </w: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ab/>
      </w:r>
      <w:r w:rsidDel="00000000" w:rsidR="00000000" w:rsidRPr="00000000">
        <w:rPr>
          <w:rFonts w:ascii="Times New Roman" w:cs="Times New Roman" w:eastAsia="Times New Roman" w:hAnsi="Times New Roman"/>
          <w:color w:val="222222"/>
          <w:rtl w:val="0"/>
        </w:rPr>
        <w:t xml:space="preserve">5- Bookcases</w:t>
      </w:r>
      <w:r w:rsidDel="00000000" w:rsidR="00000000" w:rsidRPr="00000000">
        <w:rPr>
          <w:rtl w:val="0"/>
        </w:rPr>
      </w:r>
    </w:p>
    <w:p w:rsidR="00000000" w:rsidDel="00000000" w:rsidP="00000000" w:rsidRDefault="00000000" w:rsidRPr="00000000" w14:paraId="000000C7">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9- Electronic Keyboards</w:t>
      </w:r>
      <w:r w:rsidDel="00000000" w:rsidR="00000000" w:rsidRPr="00000000">
        <w:rPr>
          <w:rtl w:val="0"/>
        </w:rPr>
      </w:r>
    </w:p>
    <w:p w:rsidR="00000000" w:rsidDel="00000000" w:rsidP="00000000" w:rsidRDefault="00000000" w:rsidRPr="00000000" w14:paraId="000000C8">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2- Bikes</w:t>
      </w:r>
      <w:r w:rsidDel="00000000" w:rsidR="00000000" w:rsidRPr="00000000">
        <w:rPr>
          <w:rtl w:val="0"/>
        </w:rPr>
      </w:r>
    </w:p>
    <w:p w:rsidR="00000000" w:rsidDel="00000000" w:rsidP="00000000" w:rsidRDefault="00000000" w:rsidRPr="00000000" w14:paraId="000000C9">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2 sets- Connecting Math Concepts</w:t>
      </w:r>
      <w:r w:rsidDel="00000000" w:rsidR="00000000" w:rsidRPr="00000000">
        <w:rPr>
          <w:rtl w:val="0"/>
        </w:rPr>
      </w:r>
    </w:p>
    <w:p w:rsidR="00000000" w:rsidDel="00000000" w:rsidP="00000000" w:rsidRDefault="00000000" w:rsidRPr="00000000" w14:paraId="000000CA">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4 boxes- Miscellaneous Outdated Curriculum</w:t>
      </w:r>
      <w:r w:rsidDel="00000000" w:rsidR="00000000" w:rsidRPr="00000000">
        <w:rPr>
          <w:rtl w:val="0"/>
        </w:rPr>
      </w:r>
    </w:p>
    <w:p w:rsidR="00000000" w:rsidDel="00000000" w:rsidP="00000000" w:rsidRDefault="00000000" w:rsidRPr="00000000" w14:paraId="000000CB">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12 sets- Level 1 Reading Mastery</w:t>
      </w:r>
      <w:r w:rsidDel="00000000" w:rsidR="00000000" w:rsidRPr="00000000">
        <w:rPr>
          <w:rtl w:val="0"/>
        </w:rPr>
      </w:r>
    </w:p>
    <w:p w:rsidR="00000000" w:rsidDel="00000000" w:rsidP="00000000" w:rsidRDefault="00000000" w:rsidRPr="00000000" w14:paraId="000000CC">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1 set- Independent Readers</w:t>
      </w:r>
      <w:r w:rsidDel="00000000" w:rsidR="00000000" w:rsidRPr="00000000">
        <w:rPr>
          <w:rtl w:val="0"/>
        </w:rPr>
      </w:r>
    </w:p>
    <w:p w:rsidR="00000000" w:rsidDel="00000000" w:rsidP="00000000" w:rsidRDefault="00000000" w:rsidRPr="00000000" w14:paraId="000000CD">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4 sets- Distar Arithmetic 1 Classroom Teacher Material</w:t>
      </w:r>
      <w:r w:rsidDel="00000000" w:rsidR="00000000" w:rsidRPr="00000000">
        <w:rPr>
          <w:rtl w:val="0"/>
        </w:rPr>
      </w:r>
    </w:p>
    <w:p w:rsidR="00000000" w:rsidDel="00000000" w:rsidP="00000000" w:rsidRDefault="00000000" w:rsidRPr="00000000" w14:paraId="000000CE">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1 set- Distar Arithmetic Teachers Material Kit  </w:t>
      </w: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A11.    </w:t>
      </w:r>
      <w:r w:rsidDel="00000000" w:rsidR="00000000" w:rsidRPr="00000000">
        <w:rPr>
          <w:rFonts w:ascii="Times New Roman" w:cs="Times New Roman" w:eastAsia="Times New Roman" w:hAnsi="Times New Roman"/>
          <w:color w:val="000000"/>
          <w:sz w:val="24"/>
          <w:szCs w:val="24"/>
          <w:rtl w:val="0"/>
        </w:rPr>
        <w:t xml:space="preserve">To approve the use of C.A.S. Health Care, Inc. for Nursing services for the 2021-2022 school year at the rate of $55.00 per hour.</w:t>
      </w: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A12.</w:t>
      </w:r>
      <w:r w:rsidDel="00000000" w:rsidR="00000000" w:rsidRPr="00000000">
        <w:rPr>
          <w:rFonts w:ascii="Times New Roman" w:cs="Times New Roman" w:eastAsia="Times New Roman" w:hAnsi="Times New Roman"/>
          <w:color w:val="000000"/>
          <w:sz w:val="24"/>
          <w:szCs w:val="24"/>
          <w:rtl w:val="0"/>
        </w:rPr>
        <w:t xml:space="preserve">    To approve the donation of a small T.V. for the apartment bedroom area from Maggie Lukenda.</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spacing w:after="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spacing w:after="240" w:line="240" w:lineRule="auto"/>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PERSONNEL</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recommend the Board approve/ratify the appointment of the following named individuals who constitute a careful selection and screening of applicants and are hereby recommended for an employment contract contingent upon the successful completion of their degree program, New Jersey Department of Education certification requirements, Federal NCLB Highly Qualified Teacher Requirements, a criminal history clearance and the successful completion of a medical examination as required by the Board of Education.  These initial appointments may be changed as District needs develop unless otherwise stipulated.</w:t>
      </w:r>
    </w:p>
    <w:p w:rsidR="00000000" w:rsidDel="00000000" w:rsidP="00000000" w:rsidRDefault="00000000" w:rsidRPr="00000000" w14:paraId="000000D7">
      <w:pPr>
        <w:spacing w:line="240" w:lineRule="auto"/>
        <w:jc w:val="both"/>
        <w:rPr>
          <w:rFonts w:ascii="Times New Roman" w:cs="Times New Roman" w:eastAsia="Times New Roman" w:hAnsi="Times New Roman"/>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D8">
      <w:pPr>
        <w:spacing w:line="240" w:lineRule="auto"/>
        <w:jc w:val="both"/>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Motion was made by Ms. Zona, seconded by Ms. Lewert, and unanimously adopted by a roll call vote to accept motions B1-B9.</w:t>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Ms. O’Hara, yes; Dr. Savoia, yes; and Mr. Annibale, yes.</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10-MONTH NON-CERTIFICATED STAFF-</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To approve/ratify the following Non-Certified   Staff  effective October 28, 2021* through June 30, 2022 </w:t>
      </w:r>
      <w:r w:rsidDel="00000000" w:rsidR="00000000" w:rsidRPr="00000000">
        <w:rPr>
          <w:rtl w:val="0"/>
        </w:rPr>
      </w:r>
    </w:p>
    <w:tbl>
      <w:tblPr>
        <w:tblStyle w:val="Table5"/>
        <w:tblW w:w="6700.0" w:type="dxa"/>
        <w:jc w:val="left"/>
        <w:tblInd w:w="0.0" w:type="dxa"/>
        <w:tblLayout w:type="fixed"/>
        <w:tblLook w:val="0400"/>
      </w:tblPr>
      <w:tblGrid>
        <w:gridCol w:w="1128"/>
        <w:gridCol w:w="1954"/>
        <w:gridCol w:w="1667"/>
        <w:gridCol w:w="578"/>
        <w:gridCol w:w="1373"/>
        <w:tblGridChange w:id="0">
          <w:tblGrid>
            <w:gridCol w:w="1128"/>
            <w:gridCol w:w="1954"/>
            <w:gridCol w:w="1667"/>
            <w:gridCol w:w="578"/>
            <w:gridCol w:w="137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Caraballo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Sergia (10/18/21*)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 </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Savarese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Tiffany (10/25/21*)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 </w:t>
            </w:r>
            <w:r w:rsidDel="00000000" w:rsidR="00000000" w:rsidRPr="00000000">
              <w:rPr>
                <w:rtl w:val="0"/>
              </w:rPr>
            </w:r>
          </w:p>
        </w:tc>
      </w:tr>
    </w:tbl>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Pending Criminal History Clearance</w:t>
      </w: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B2.   </w:t>
      </w:r>
      <w:r w:rsidDel="00000000" w:rsidR="00000000" w:rsidRPr="00000000">
        <w:rPr>
          <w:rFonts w:ascii="Times New Roman" w:cs="Times New Roman" w:eastAsia="Times New Roman" w:hAnsi="Times New Roman"/>
          <w:b w:val="1"/>
          <w:color w:val="000000"/>
          <w:u w:val="single"/>
          <w:rtl w:val="0"/>
        </w:rPr>
        <w:t xml:space="preserve">10-MONTH  CERTIFICATED STAFF-</w:t>
      </w:r>
      <w:r w:rsidDel="00000000" w:rsidR="00000000" w:rsidRPr="00000000">
        <w:rPr>
          <w:rFonts w:ascii="Times New Roman" w:cs="Times New Roman" w:eastAsia="Times New Roman" w:hAnsi="Times New Roman"/>
          <w:b w:val="1"/>
          <w:color w:val="000000"/>
          <w:rtl w:val="0"/>
        </w:rPr>
        <w:t xml:space="preserve"> To approve/ratify the following Certified   </w:t>
      </w:r>
      <w:r w:rsidDel="00000000" w:rsidR="00000000" w:rsidRPr="00000000">
        <w:rPr>
          <w:rtl w:val="0"/>
        </w:rPr>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Staff  effective October 15, 2021* through June 30, 2022 </w:t>
      </w:r>
      <w:r w:rsidDel="00000000" w:rsidR="00000000" w:rsidRPr="00000000">
        <w:rPr>
          <w:rtl w:val="0"/>
        </w:rPr>
      </w:r>
    </w:p>
    <w:tbl>
      <w:tblPr>
        <w:tblStyle w:val="Table6"/>
        <w:tblW w:w="6195.999999999999" w:type="dxa"/>
        <w:jc w:val="left"/>
        <w:tblInd w:w="0.0" w:type="dxa"/>
        <w:tblLayout w:type="fixed"/>
        <w:tblLook w:val="0400"/>
      </w:tblPr>
      <w:tblGrid>
        <w:gridCol w:w="1128"/>
        <w:gridCol w:w="1161"/>
        <w:gridCol w:w="1722"/>
        <w:gridCol w:w="812"/>
        <w:gridCol w:w="1373"/>
        <w:tblGridChange w:id="0">
          <w:tblGrid>
            <w:gridCol w:w="1128"/>
            <w:gridCol w:w="1161"/>
            <w:gridCol w:w="1722"/>
            <w:gridCol w:w="812"/>
            <w:gridCol w:w="137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Balseiro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Molly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Speech Therapist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$ 58,845 </w:t>
            </w:r>
            <w:r w:rsidDel="00000000" w:rsidR="00000000" w:rsidRPr="00000000">
              <w:rPr>
                <w:rtl w:val="0"/>
              </w:rPr>
            </w:r>
          </w:p>
        </w:tc>
      </w:tr>
    </w:tbl>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Pending Criminal History Clearance</w:t>
      </w: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B3.   </w:t>
      </w:r>
      <w:r w:rsidDel="00000000" w:rsidR="00000000" w:rsidRPr="00000000">
        <w:rPr>
          <w:rFonts w:ascii="Times New Roman" w:cs="Times New Roman" w:eastAsia="Times New Roman" w:hAnsi="Times New Roman"/>
          <w:b w:val="1"/>
          <w:color w:val="000000"/>
          <w:u w:val="single"/>
          <w:rtl w:val="0"/>
        </w:rPr>
        <w:t xml:space="preserve">10-MONTH CERTIFICATED STAFF</w:t>
      </w:r>
      <w:r w:rsidDel="00000000" w:rsidR="00000000" w:rsidRPr="00000000">
        <w:rPr>
          <w:rFonts w:ascii="Times New Roman" w:cs="Times New Roman" w:eastAsia="Times New Roman" w:hAnsi="Times New Roman"/>
          <w:b w:val="1"/>
          <w:i w:val="1"/>
          <w:color w:val="000000"/>
          <w:u w:val="single"/>
          <w:rtl w:val="0"/>
        </w:rPr>
        <w:t xml:space="preserve"> RESIGNATIONS</w:t>
      </w: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To approve/ratify* the following Certified Staff RESIGNATIONS: </w:t>
      </w:r>
      <w:r w:rsidDel="00000000" w:rsidR="00000000" w:rsidRPr="00000000">
        <w:rPr>
          <w:rtl w:val="0"/>
        </w:rPr>
      </w:r>
    </w:p>
    <w:tbl>
      <w:tblPr>
        <w:tblStyle w:val="Table7"/>
        <w:tblW w:w="7324.0" w:type="dxa"/>
        <w:jc w:val="left"/>
        <w:tblInd w:w="0.0" w:type="dxa"/>
        <w:tblLayout w:type="fixed"/>
        <w:tblLook w:val="0400"/>
      </w:tblPr>
      <w:tblGrid>
        <w:gridCol w:w="1239"/>
        <w:gridCol w:w="1161"/>
        <w:gridCol w:w="1722"/>
        <w:gridCol w:w="812"/>
        <w:gridCol w:w="2390"/>
        <w:tblGridChange w:id="0">
          <w:tblGrid>
            <w:gridCol w:w="1239"/>
            <w:gridCol w:w="1161"/>
            <w:gridCol w:w="1722"/>
            <w:gridCol w:w="812"/>
            <w:gridCol w:w="23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Morgan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Christine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$61,980</w:t>
            </w: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8"/>
                <w:szCs w:val="18"/>
                <w:rtl w:val="0"/>
              </w:rPr>
              <w:t xml:space="preserve">Effective: December 1, 2021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O’Krepki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Michael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Gym 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$58,845 </w:t>
            </w:r>
            <w:r w:rsidDel="00000000" w:rsidR="00000000" w:rsidRPr="00000000">
              <w:rPr>
                <w:rtl w:val="0"/>
              </w:rPr>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8"/>
                <w:szCs w:val="18"/>
                <w:rtl w:val="0"/>
              </w:rPr>
              <w:t xml:space="preserve">Effective: December 12, 2021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Quattrocchi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Alayna*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Speech Therapist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$61,980</w:t>
            </w:r>
            <w:r w:rsidDel="00000000" w:rsidR="00000000" w:rsidRPr="00000000">
              <w:rPr>
                <w:rtl w:val="0"/>
              </w:rPr>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8"/>
                <w:szCs w:val="18"/>
                <w:rtl w:val="0"/>
              </w:rPr>
              <w:t xml:space="preserve">Effective: October 15, 2021</w:t>
            </w:r>
            <w:r w:rsidDel="00000000" w:rsidR="00000000" w:rsidRPr="00000000">
              <w:rPr>
                <w:rtl w:val="0"/>
              </w:rPr>
            </w:r>
          </w:p>
        </w:tc>
      </w:tr>
    </w:tbl>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B4.   </w:t>
      </w:r>
      <w:r w:rsidDel="00000000" w:rsidR="00000000" w:rsidRPr="00000000">
        <w:rPr>
          <w:rFonts w:ascii="Times New Roman" w:cs="Times New Roman" w:eastAsia="Times New Roman" w:hAnsi="Times New Roman"/>
          <w:b w:val="1"/>
          <w:color w:val="000000"/>
          <w:u w:val="single"/>
          <w:rtl w:val="0"/>
        </w:rPr>
        <w:t xml:space="preserve">10-MONTH  CERTIFICATED SUBSTITUTE STAFF-</w:t>
      </w:r>
      <w:r w:rsidDel="00000000" w:rsidR="00000000" w:rsidRPr="00000000">
        <w:rPr>
          <w:rFonts w:ascii="Times New Roman" w:cs="Times New Roman" w:eastAsia="Times New Roman" w:hAnsi="Times New Roman"/>
          <w:b w:val="1"/>
          <w:color w:val="000000"/>
          <w:rtl w:val="0"/>
        </w:rPr>
        <w:t xml:space="preserve"> To approve the following Certified Substitute Staff  effective October 28, 2021 through June 30, 2022 </w:t>
      </w:r>
      <w:r w:rsidDel="00000000" w:rsidR="00000000" w:rsidRPr="00000000">
        <w:rPr>
          <w:rtl w:val="0"/>
        </w:rPr>
      </w:r>
    </w:p>
    <w:tbl>
      <w:tblPr>
        <w:tblStyle w:val="Table8"/>
        <w:tblW w:w="6473.0" w:type="dxa"/>
        <w:jc w:val="left"/>
        <w:tblInd w:w="0.0" w:type="dxa"/>
        <w:tblLayout w:type="fixed"/>
        <w:tblLook w:val="0400"/>
      </w:tblPr>
      <w:tblGrid>
        <w:gridCol w:w="1128"/>
        <w:gridCol w:w="1161"/>
        <w:gridCol w:w="2357"/>
        <w:gridCol w:w="1827"/>
        <w:tblGridChange w:id="0">
          <w:tblGrid>
            <w:gridCol w:w="1128"/>
            <w:gridCol w:w="1161"/>
            <w:gridCol w:w="2357"/>
            <w:gridCol w:w="182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Savarese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Tiffany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Substitute 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$40 daily Stipend</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Maidlow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Samantha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Substitute 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$40 daily Stipend</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Maidlow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Samantha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Long Term Sub Teacher</w:t>
            </w:r>
            <w:r w:rsidDel="00000000" w:rsidR="00000000" w:rsidRPr="00000000">
              <w:rPr>
                <w:rtl w:val="0"/>
              </w:rPr>
            </w:r>
          </w:p>
          <w:p w:rsidR="00000000" w:rsidDel="00000000" w:rsidP="00000000" w:rsidRDefault="00000000" w:rsidRPr="00000000" w14:paraId="000001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 (A.T 11/1-12/3/21)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$200 daily </w:t>
            </w:r>
            <w:r w:rsidDel="00000000" w:rsidR="00000000" w:rsidRPr="00000000">
              <w:rPr>
                <w:rtl w:val="0"/>
              </w:rPr>
            </w:r>
          </w:p>
        </w:tc>
      </w:tr>
    </w:tbl>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B5.    </w:t>
      </w:r>
      <w:r w:rsidDel="00000000" w:rsidR="00000000" w:rsidRPr="00000000">
        <w:rPr>
          <w:rFonts w:ascii="Times New Roman" w:cs="Times New Roman" w:eastAsia="Times New Roman" w:hAnsi="Times New Roman"/>
          <w:color w:val="000000"/>
          <w:rtl w:val="0"/>
        </w:rPr>
        <w:t xml:space="preserve">To approve </w:t>
      </w:r>
      <w:r w:rsidDel="00000000" w:rsidR="00000000" w:rsidRPr="00000000">
        <w:rPr>
          <w:rFonts w:ascii="Times New Roman" w:cs="Times New Roman" w:eastAsia="Times New Roman" w:hAnsi="Times New Roman"/>
          <w:color w:val="222222"/>
          <w:highlight w:val="white"/>
          <w:rtl w:val="0"/>
        </w:rPr>
        <w:t xml:space="preserve">Sam Frange to provide 20 hours of remote academic instruction after school to one of our students. These hours must be completed by May 15, 2022. Sam will be paid $45 per hour and we will be billing Stafford Township $48.50 per hour. This time will be included on Stafford's bill. Sam will fill out a timesheet. She will be starting October 1, 2021. </w:t>
      </w:r>
      <w:r w:rsidDel="00000000" w:rsidR="00000000" w:rsidRPr="00000000">
        <w:rPr>
          <w:rtl w:val="0"/>
        </w:rPr>
      </w:r>
    </w:p>
    <w:p w:rsidR="00000000" w:rsidDel="00000000" w:rsidP="00000000" w:rsidRDefault="00000000" w:rsidRPr="00000000" w14:paraId="000001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highlight w:val="white"/>
          <w:rtl w:val="0"/>
        </w:rPr>
        <w:t xml:space="preserve">B6.    </w:t>
      </w:r>
      <w:r w:rsidDel="00000000" w:rsidR="00000000" w:rsidRPr="00000000">
        <w:rPr>
          <w:rFonts w:ascii="Times New Roman" w:cs="Times New Roman" w:eastAsia="Times New Roman" w:hAnsi="Times New Roman"/>
          <w:color w:val="222222"/>
          <w:highlight w:val="white"/>
          <w:rtl w:val="0"/>
        </w:rPr>
        <w:t xml:space="preserve"> To approve/ratify Anthony Santangelo for 10 hours of preparation/professional development training at the rate of $38 an hour totaling $380.00.</w:t>
      </w:r>
      <w:r w:rsidDel="00000000" w:rsidR="00000000" w:rsidRPr="00000000">
        <w:rPr>
          <w:rtl w:val="0"/>
        </w:rPr>
      </w:r>
    </w:p>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highlight w:val="white"/>
          <w:rtl w:val="0"/>
        </w:rPr>
        <w:t xml:space="preserve">B7.    </w:t>
      </w:r>
      <w:r w:rsidDel="00000000" w:rsidR="00000000" w:rsidRPr="00000000">
        <w:rPr>
          <w:rFonts w:ascii="Times New Roman" w:cs="Times New Roman" w:eastAsia="Times New Roman" w:hAnsi="Times New Roman"/>
          <w:color w:val="222222"/>
          <w:highlight w:val="white"/>
          <w:rtl w:val="0"/>
        </w:rPr>
        <w:t xml:space="preserve">To approve/ratify Stacey Kodak and Danielle Rose for 8 hours each of preparation/professional development training at the rate of $38 an hour totaling $304.00 each.</w:t>
      </w:r>
      <w:r w:rsidDel="00000000" w:rsidR="00000000" w:rsidRPr="00000000">
        <w:rPr>
          <w:rtl w:val="0"/>
        </w:rPr>
      </w:r>
    </w:p>
    <w:p w:rsidR="00000000" w:rsidDel="00000000" w:rsidP="00000000" w:rsidRDefault="00000000" w:rsidRPr="00000000" w14:paraId="000001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highlight w:val="white"/>
          <w:rtl w:val="0"/>
        </w:rPr>
        <w:t xml:space="preserve">B8.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To approve/ratify a</w:t>
      </w:r>
      <w:r w:rsidDel="00000000" w:rsidR="00000000" w:rsidRPr="00000000">
        <w:rPr>
          <w:rFonts w:ascii="Times New Roman" w:cs="Times New Roman" w:eastAsia="Times New Roman" w:hAnsi="Times New Roman"/>
          <w:b w:val="1"/>
          <w:color w:val="000000"/>
          <w:rtl w:val="0"/>
        </w:rPr>
        <w:t xml:space="preserve"> Family Leave Of Absence</w:t>
      </w:r>
      <w:r w:rsidDel="00000000" w:rsidR="00000000" w:rsidRPr="00000000">
        <w:rPr>
          <w:rFonts w:ascii="Times New Roman" w:cs="Times New Roman" w:eastAsia="Times New Roman" w:hAnsi="Times New Roman"/>
          <w:color w:val="000000"/>
          <w:rtl w:val="0"/>
        </w:rPr>
        <w:t xml:space="preserve"> for </w:t>
      </w:r>
      <w:r w:rsidDel="00000000" w:rsidR="00000000" w:rsidRPr="00000000">
        <w:rPr>
          <w:rFonts w:ascii="Times New Roman" w:cs="Times New Roman" w:eastAsia="Times New Roman" w:hAnsi="Times New Roman"/>
          <w:b w:val="1"/>
          <w:color w:val="000000"/>
          <w:rtl w:val="0"/>
        </w:rPr>
        <w:t xml:space="preserve">Denise Grillo,</w:t>
      </w:r>
      <w:r w:rsidDel="00000000" w:rsidR="00000000" w:rsidRPr="00000000">
        <w:rPr>
          <w:rFonts w:ascii="Times New Roman" w:cs="Times New Roman" w:eastAsia="Times New Roman" w:hAnsi="Times New Roman"/>
          <w:color w:val="000000"/>
          <w:rtl w:val="0"/>
        </w:rPr>
        <w:t xml:space="preserve"> at the Shore Center for Students with Autism, with benefits, as follows:      </w:t>
      </w:r>
      <w:r w:rsidDel="00000000" w:rsidR="00000000" w:rsidRPr="00000000">
        <w:rPr>
          <w:rtl w:val="0"/>
        </w:rPr>
      </w:r>
    </w:p>
    <w:p w:rsidR="00000000" w:rsidDel="00000000" w:rsidP="00000000" w:rsidRDefault="00000000" w:rsidRPr="00000000" w14:paraId="00000131">
      <w:pPr>
        <w:spacing w:line="240" w:lineRule="auto"/>
        <w:ind w:left="7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Effective</w:t>
      </w:r>
      <w:r w:rsidDel="00000000" w:rsidR="00000000" w:rsidRPr="00000000">
        <w:rPr>
          <w:rFonts w:ascii="Times New Roman" w:cs="Times New Roman" w:eastAsia="Times New Roman" w:hAnsi="Times New Roman"/>
          <w:b w:val="1"/>
          <w:color w:val="000000"/>
          <w:rtl w:val="0"/>
        </w:rPr>
        <w:t xml:space="preserve"> October 11, 2021 through  October 15, 2021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unpaid leave</w:t>
      </w:r>
      <w:r w:rsidDel="00000000" w:rsidR="00000000" w:rsidRPr="00000000">
        <w:rPr>
          <w:rFonts w:ascii="Times New Roman" w:cs="Times New Roman" w:eastAsia="Times New Roman" w:hAnsi="Times New Roman"/>
          <w:color w:val="000000"/>
          <w:rtl w:val="0"/>
        </w:rPr>
        <w:t xml:space="preserve"> of absence pursuant to  Family Medical Leave Act (FMLA) and the New Jersey Family Leave Act (NJFLA)</w:t>
      </w:r>
      <w:r w:rsidDel="00000000" w:rsidR="00000000" w:rsidRPr="00000000">
        <w:rPr>
          <w:rtl w:val="0"/>
        </w:rPr>
      </w:r>
    </w:p>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24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B9.   </w:t>
      </w:r>
      <w:r w:rsidDel="00000000" w:rsidR="00000000" w:rsidRPr="00000000">
        <w:rPr>
          <w:rFonts w:ascii="Times New Roman" w:cs="Times New Roman" w:eastAsia="Times New Roman" w:hAnsi="Times New Roman"/>
          <w:color w:val="000000"/>
          <w:rtl w:val="0"/>
        </w:rPr>
        <w:t xml:space="preserve">To approve an updated</w:t>
      </w:r>
      <w:r w:rsidDel="00000000" w:rsidR="00000000" w:rsidRPr="00000000">
        <w:rPr>
          <w:rFonts w:ascii="Times New Roman" w:cs="Times New Roman" w:eastAsia="Times New Roman" w:hAnsi="Times New Roman"/>
          <w:b w:val="1"/>
          <w:color w:val="000000"/>
          <w:rtl w:val="0"/>
        </w:rPr>
        <w:t xml:space="preserve"> Family Medical Leave Of Absence</w:t>
      </w:r>
      <w:r w:rsidDel="00000000" w:rsidR="00000000" w:rsidRPr="00000000">
        <w:rPr>
          <w:rFonts w:ascii="Times New Roman" w:cs="Times New Roman" w:eastAsia="Times New Roman" w:hAnsi="Times New Roman"/>
          <w:color w:val="000000"/>
          <w:rtl w:val="0"/>
        </w:rPr>
        <w:t xml:space="preserve"> for </w:t>
      </w:r>
      <w:r w:rsidDel="00000000" w:rsidR="00000000" w:rsidRPr="00000000">
        <w:rPr>
          <w:rFonts w:ascii="Times New Roman" w:cs="Times New Roman" w:eastAsia="Times New Roman" w:hAnsi="Times New Roman"/>
          <w:b w:val="1"/>
          <w:color w:val="000000"/>
          <w:rtl w:val="0"/>
        </w:rPr>
        <w:t xml:space="preserve">Rileigh Barradale,</w:t>
      </w:r>
      <w:r w:rsidDel="00000000" w:rsidR="00000000" w:rsidRPr="00000000">
        <w:rPr>
          <w:rFonts w:ascii="Times New Roman" w:cs="Times New Roman" w:eastAsia="Times New Roman" w:hAnsi="Times New Roman"/>
          <w:color w:val="000000"/>
          <w:rtl w:val="0"/>
        </w:rPr>
        <w:t xml:space="preserve"> at the Shore Center for Students with Autism, with benefits, as follows:    </w:t>
      </w:r>
      <w:r w:rsidDel="00000000" w:rsidR="00000000" w:rsidRPr="00000000">
        <w:rPr>
          <w:rtl w:val="0"/>
        </w:rPr>
      </w:r>
    </w:p>
    <w:p w:rsidR="00000000" w:rsidDel="00000000" w:rsidP="00000000" w:rsidRDefault="00000000" w:rsidRPr="00000000" w14:paraId="00000134">
      <w:pPr>
        <w:spacing w:line="240" w:lineRule="auto"/>
        <w:ind w:left="7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Effective</w:t>
      </w:r>
      <w:r w:rsidDel="00000000" w:rsidR="00000000" w:rsidRPr="00000000">
        <w:rPr>
          <w:rFonts w:ascii="Times New Roman" w:cs="Times New Roman" w:eastAsia="Times New Roman" w:hAnsi="Times New Roman"/>
          <w:b w:val="1"/>
          <w:color w:val="000000"/>
          <w:rtl w:val="0"/>
        </w:rPr>
        <w:t xml:space="preserve"> September 1, 2021 through November 22, 2021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unpaid leave</w:t>
      </w:r>
      <w:r w:rsidDel="00000000" w:rsidR="00000000" w:rsidRPr="00000000">
        <w:rPr>
          <w:rFonts w:ascii="Times New Roman" w:cs="Times New Roman" w:eastAsia="Times New Roman" w:hAnsi="Times New Roman"/>
          <w:color w:val="000000"/>
          <w:rtl w:val="0"/>
        </w:rPr>
        <w:t xml:space="preserve"> of absence pursuant to  Family Medical Leave Act (FMLA) and the New Jersey Family Leave Act (NJFLA) </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Lewert, seconded by Ms. Zona, and unanimously adopted by a roll call vote to accept the Superintendent’s Report.</w:t>
      </w:r>
    </w:p>
    <w:p w:rsidR="00000000" w:rsidDel="00000000" w:rsidP="00000000" w:rsidRDefault="00000000" w:rsidRPr="00000000" w14:paraId="000001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Ms. O’Hara, yes; Dr. Savoia, yes; and Mr. Annibale, yes.</w:t>
      </w:r>
    </w:p>
    <w:p w:rsidR="00000000" w:rsidDel="00000000" w:rsidP="00000000" w:rsidRDefault="00000000" w:rsidRPr="00000000" w14:paraId="000001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line="2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Superintendent’s Report:</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 Bayshore - Month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2021</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tbl>
      <w:tblPr>
        <w:tblStyle w:val="Table9"/>
        <w:tblW w:w="9344.0" w:type="dxa"/>
        <w:jc w:val="left"/>
        <w:tblInd w:w="0.0" w:type="dxa"/>
        <w:tblLayout w:type="fixed"/>
        <w:tblLook w:val="0400"/>
      </w:tblPr>
      <w:tblGrid>
        <w:gridCol w:w="3453"/>
        <w:gridCol w:w="1867"/>
        <w:gridCol w:w="2591"/>
        <w:gridCol w:w="1433"/>
        <w:tblGridChange w:id="0">
          <w:tblGrid>
            <w:gridCol w:w="3453"/>
            <w:gridCol w:w="1867"/>
            <w:gridCol w:w="2591"/>
            <w:gridCol w:w="1433"/>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3D">
            <w:pPr>
              <w:spacing w:line="480" w:lineRule="auto"/>
              <w:ind w:left="-720" w:firstLine="6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SCHOOL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DRILL TYPE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3F">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OCCUPANT INVOLVED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40">
            <w:pPr>
              <w:spacing w:line="480" w:lineRule="auto"/>
              <w:ind w:left="-920" w:right="-460" w:firstLine="6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DATE &amp; TIME</w:t>
            </w:r>
            <w:r w:rsidDel="00000000" w:rsidR="00000000" w:rsidRPr="00000000">
              <w:rPr>
                <w:rtl w:val="0"/>
              </w:rPr>
            </w:r>
          </w:p>
        </w:tc>
      </w:tr>
      <w:tr>
        <w:trPr>
          <w:cantSplit w:val="0"/>
          <w:trHeight w:val="474" w:hRule="atLeast"/>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Regional Achieve Academy/The Shore Center                    </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2">
            <w:pPr>
              <w:spacing w:line="24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Fire Drill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STUDENTS/STAFF/FACULTY</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9/15/2021</w:t>
            </w:r>
            <w:r w:rsidDel="00000000" w:rsidR="00000000" w:rsidRPr="00000000">
              <w:rPr>
                <w:rtl w:val="0"/>
              </w:rPr>
            </w:r>
          </w:p>
          <w:p w:rsidR="00000000" w:rsidDel="00000000" w:rsidP="00000000" w:rsidRDefault="00000000" w:rsidRPr="00000000" w14:paraId="0000014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9:06 am.-9:11 am.</w:t>
            </w:r>
            <w:r w:rsidDel="00000000" w:rsidR="00000000" w:rsidRPr="00000000">
              <w:rPr>
                <w:rtl w:val="0"/>
              </w:rPr>
            </w:r>
          </w:p>
          <w:p w:rsidR="00000000" w:rsidDel="00000000" w:rsidP="00000000" w:rsidRDefault="00000000" w:rsidRPr="00000000" w14:paraId="0000014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Regional Achieve Academy/The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spacing w:line="24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        Communication Drill         </w:t>
            </w:r>
            <w:r w:rsidDel="00000000" w:rsidR="00000000" w:rsidRPr="00000000">
              <w:rPr>
                <w:rtl w:val="0"/>
              </w:rPr>
            </w:r>
          </w:p>
          <w:p w:rsidR="00000000" w:rsidDel="00000000" w:rsidP="00000000" w:rsidRDefault="00000000" w:rsidRPr="00000000" w14:paraId="0000014A">
            <w:pPr>
              <w:spacing w:line="24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STUDENTS/STAFF/FACULTY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9/20/2021</w:t>
            </w:r>
            <w:r w:rsidDel="00000000" w:rsidR="00000000" w:rsidRPr="00000000">
              <w:rPr>
                <w:rtl w:val="0"/>
              </w:rPr>
            </w:r>
          </w:p>
          <w:p w:rsidR="00000000" w:rsidDel="00000000" w:rsidP="00000000" w:rsidRDefault="00000000" w:rsidRPr="00000000" w14:paraId="0000014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1:14 pm.-1:19 pm.</w:t>
            </w:r>
            <w:r w:rsidDel="00000000" w:rsidR="00000000" w:rsidRPr="00000000">
              <w:rPr>
                <w:rtl w:val="0"/>
              </w:rPr>
            </w:r>
          </w:p>
          <w:p w:rsidR="00000000" w:rsidDel="00000000" w:rsidP="00000000" w:rsidRDefault="00000000" w:rsidRPr="00000000" w14:paraId="0000014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5:30-5:31 pm.</w:t>
            </w:r>
            <w:r w:rsidDel="00000000" w:rsidR="00000000" w:rsidRPr="00000000">
              <w:rPr>
                <w:rtl w:val="0"/>
              </w:rPr>
            </w:r>
          </w:p>
        </w:tc>
      </w:tr>
    </w:tbl>
    <w:p w:rsidR="00000000" w:rsidDel="00000000" w:rsidP="00000000" w:rsidRDefault="00000000" w:rsidRPr="00000000" w14:paraId="0000014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line="240" w:lineRule="auto"/>
        <w:ind w:left="-9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1.    </w:t>
      </w:r>
      <w:r w:rsidDel="00000000" w:rsidR="00000000" w:rsidRPr="00000000">
        <w:rPr>
          <w:rFonts w:ascii="Times New Roman" w:cs="Times New Roman" w:eastAsia="Times New Roman" w:hAnsi="Times New Roman"/>
          <w:b w:val="1"/>
          <w:color w:val="000000"/>
          <w:highlight w:val="white"/>
          <w:u w:val="single"/>
          <w:rtl w:val="0"/>
        </w:rPr>
        <w:t xml:space="preserve">Bus Evacuation Drill</w:t>
      </w:r>
      <w:r w:rsidDel="00000000" w:rsidR="00000000" w:rsidRPr="00000000">
        <w:rPr>
          <w:rFonts w:ascii="Times New Roman" w:cs="Times New Roman" w:eastAsia="Times New Roman" w:hAnsi="Times New Roman"/>
          <w:b w:val="1"/>
          <w:color w:val="000000"/>
          <w:highlight w:val="white"/>
          <w:rtl w:val="0"/>
        </w:rPr>
        <w:t xml:space="preserve"> - October 7, 2021   </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tl w:val="0"/>
        </w:rPr>
      </w:r>
    </w:p>
    <w:tbl>
      <w:tblPr>
        <w:tblStyle w:val="Table10"/>
        <w:tblW w:w="9228.0" w:type="dxa"/>
        <w:jc w:val="left"/>
        <w:tblInd w:w="0.0" w:type="dxa"/>
        <w:tblLayout w:type="fixed"/>
        <w:tblLook w:val="0400"/>
      </w:tblPr>
      <w:tblGrid>
        <w:gridCol w:w="1500"/>
        <w:gridCol w:w="1110"/>
        <w:gridCol w:w="900"/>
        <w:gridCol w:w="1306"/>
        <w:gridCol w:w="1095"/>
        <w:gridCol w:w="1389"/>
        <w:gridCol w:w="1928"/>
        <w:tblGridChange w:id="0">
          <w:tblGrid>
            <w:gridCol w:w="1500"/>
            <w:gridCol w:w="1110"/>
            <w:gridCol w:w="900"/>
            <w:gridCol w:w="1306"/>
            <w:gridCol w:w="1095"/>
            <w:gridCol w:w="1389"/>
            <w:gridCol w:w="1928"/>
          </w:tblGrid>
        </w:tblGridChange>
      </w:tblGrid>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tcPr>
          <w:p w:rsidR="00000000" w:rsidDel="00000000" w:rsidP="00000000" w:rsidRDefault="00000000" w:rsidRPr="00000000" w14:paraId="0000015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School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tcPr>
          <w:p w:rsidR="00000000" w:rsidDel="00000000" w:rsidP="00000000" w:rsidRDefault="00000000" w:rsidRPr="00000000" w14:paraId="0000015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tcPr>
          <w:p w:rsidR="00000000" w:rsidDel="00000000" w:rsidP="00000000" w:rsidRDefault="00000000" w:rsidRPr="00000000" w14:paraId="0000015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tcPr>
          <w:p w:rsidR="00000000" w:rsidDel="00000000" w:rsidP="00000000" w:rsidRDefault="00000000" w:rsidRPr="00000000" w14:paraId="0000015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Location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tcPr>
          <w:p w:rsidR="00000000" w:rsidDel="00000000" w:rsidP="00000000" w:rsidRDefault="00000000" w:rsidRPr="00000000" w14:paraId="000001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Vehicle</w:t>
            </w:r>
            <w:r w:rsidDel="00000000" w:rsidR="00000000" w:rsidRPr="00000000">
              <w:rPr>
                <w:rtl w:val="0"/>
              </w:rPr>
            </w:r>
          </w:p>
          <w:p w:rsidR="00000000" w:rsidDel="00000000" w:rsidP="00000000" w:rsidRDefault="00000000" w:rsidRPr="00000000" w14:paraId="0000015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tcPr>
          <w:p w:rsidR="00000000" w:rsidDel="00000000" w:rsidP="00000000" w:rsidRDefault="00000000" w:rsidRPr="00000000" w14:paraId="000001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Bus Co.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tcPr>
          <w:p w:rsidR="00000000" w:rsidDel="00000000" w:rsidP="00000000" w:rsidRDefault="00000000" w:rsidRPr="00000000" w14:paraId="000001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Supervised the drill</w:t>
            </w: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8:35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Joy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8:35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Jesia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8:36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Old Bridge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Angilos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8:36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Briggs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8:37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Lakewood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DAG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8:37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Eatontown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8:38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75-3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Lacey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8:38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S2J372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Long Branch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8:39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S2T762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MBros.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8:39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MRHS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8:40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91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Nelvi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8:40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Queen Mary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8:41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A390S2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Queen Mary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8:41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Safe Transit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8:42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St. GorgeKlarr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8:42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Front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Seman Tov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Bettyann Monteleone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8:35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Back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337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Shamrock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Linda Jordan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8:35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Back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143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Joy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Linda Jordan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8:36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Back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Fabio Peter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Linda Jordan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8:36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Back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ZS Trans.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Linda Jordan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8:37am.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Back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St. George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Linda Jordan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8:38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Back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Jeisa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Linda Jordan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8:39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Back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SE216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DAG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Linda Jordan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10/7/2021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8:40 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Back of Bldg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Emmanuel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Linda Jordan</w:t>
            </w:r>
            <w:r w:rsidDel="00000000" w:rsidR="00000000" w:rsidRPr="00000000">
              <w:rPr>
                <w:rtl w:val="0"/>
              </w:rPr>
            </w:r>
          </w:p>
        </w:tc>
      </w:tr>
    </w:tbl>
    <w:p w:rsidR="00000000" w:rsidDel="00000000" w:rsidP="00000000" w:rsidRDefault="00000000" w:rsidRPr="00000000" w14:paraId="0000020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 A.   Enrollment:</w:t>
      </w:r>
      <w:r w:rsidDel="00000000" w:rsidR="00000000" w:rsidRPr="00000000">
        <w:rPr>
          <w:rtl w:val="0"/>
        </w:rPr>
      </w:r>
    </w:p>
    <w:p w:rsidR="00000000" w:rsidDel="00000000" w:rsidP="00000000" w:rsidRDefault="00000000" w:rsidRPr="00000000" w14:paraId="00000202">
      <w:pPr>
        <w:spacing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A1</w:t>
      </w:r>
      <w:r w:rsidDel="00000000" w:rsidR="00000000" w:rsidRPr="00000000">
        <w:rPr>
          <w:rFonts w:ascii="Times New Roman" w:cs="Times New Roman" w:eastAsia="Times New Roman" w:hAnsi="Times New Roman"/>
          <w:color w:val="000000"/>
          <w:sz w:val="24"/>
          <w:szCs w:val="24"/>
          <w:rtl w:val="0"/>
        </w:rPr>
        <w:t xml:space="preserve">.  To note the enrollment as of</w:t>
      </w:r>
      <w:r w:rsidDel="00000000" w:rsidR="00000000" w:rsidRPr="00000000">
        <w:rPr>
          <w:rFonts w:ascii="Times New Roman" w:cs="Times New Roman" w:eastAsia="Times New Roman" w:hAnsi="Times New Roman"/>
          <w:b w:val="1"/>
          <w:color w:val="000000"/>
          <w:sz w:val="24"/>
          <w:szCs w:val="24"/>
          <w:rtl w:val="0"/>
        </w:rPr>
        <w:t xml:space="preserve"> September 30, 2021 </w:t>
      </w:r>
      <w:r w:rsidDel="00000000" w:rsidR="00000000" w:rsidRPr="00000000">
        <w:rPr>
          <w:rFonts w:ascii="Times New Roman" w:cs="Times New Roman" w:eastAsia="Times New Roman" w:hAnsi="Times New Roman"/>
          <w:color w:val="000000"/>
          <w:sz w:val="24"/>
          <w:szCs w:val="24"/>
          <w:rtl w:val="0"/>
        </w:rPr>
        <w:t xml:space="preserve">for the Bayshore Jointure Commission was</w:t>
      </w:r>
      <w:r w:rsidDel="00000000" w:rsidR="00000000" w:rsidRPr="00000000">
        <w:rPr>
          <w:rFonts w:ascii="Times New Roman" w:cs="Times New Roman" w:eastAsia="Times New Roman" w:hAnsi="Times New Roman"/>
          <w:b w:val="1"/>
          <w:color w:val="000000"/>
          <w:sz w:val="24"/>
          <w:szCs w:val="24"/>
          <w:rtl w:val="0"/>
        </w:rPr>
        <w:t xml:space="preserve"> 58 </w:t>
      </w:r>
      <w:r w:rsidDel="00000000" w:rsidR="00000000" w:rsidRPr="00000000">
        <w:rPr>
          <w:rFonts w:ascii="Times New Roman" w:cs="Times New Roman" w:eastAsia="Times New Roman" w:hAnsi="Times New Roman"/>
          <w:color w:val="000000"/>
          <w:sz w:val="24"/>
          <w:szCs w:val="24"/>
          <w:rtl w:val="0"/>
        </w:rPr>
        <w:t xml:space="preserve">students. </w:t>
      </w:r>
      <w:r w:rsidDel="00000000" w:rsidR="00000000" w:rsidRPr="00000000">
        <w:rPr>
          <w:rtl w:val="0"/>
        </w:rPr>
      </w:r>
    </w:p>
    <w:p w:rsidR="00000000" w:rsidDel="00000000" w:rsidP="00000000" w:rsidRDefault="00000000" w:rsidRPr="00000000" w14:paraId="00000203">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2192.0" w:type="dxa"/>
        <w:jc w:val="left"/>
        <w:tblInd w:w="0.0" w:type="dxa"/>
        <w:tblLayout w:type="fixed"/>
        <w:tblLook w:val="0400"/>
      </w:tblPr>
      <w:tblGrid>
        <w:gridCol w:w="1645"/>
        <w:gridCol w:w="547"/>
        <w:tblGridChange w:id="0">
          <w:tblGrid>
            <w:gridCol w:w="1645"/>
            <w:gridCol w:w="547"/>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2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6"/>
                <w:szCs w:val="16"/>
                <w:rtl w:val="0"/>
              </w:rPr>
              <w:t xml:space="preserve">Grades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2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6"/>
                <w:szCs w:val="16"/>
                <w:rtl w:val="0"/>
              </w:rPr>
              <w:t xml:space="preserve">Total</w:t>
            </w:r>
            <w:r w:rsidDel="00000000" w:rsidR="00000000" w:rsidRPr="00000000">
              <w:rPr>
                <w:rtl w:val="0"/>
              </w:rPr>
            </w:r>
          </w:p>
        </w:tc>
      </w:tr>
      <w:tr>
        <w:trPr>
          <w:cantSplit w:val="0"/>
          <w:trHeight w:val="21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Pre-K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0</w:t>
            </w:r>
            <w:r w:rsidDel="00000000" w:rsidR="00000000" w:rsidRPr="00000000">
              <w:rPr>
                <w:rtl w:val="0"/>
              </w:rPr>
            </w:r>
          </w:p>
        </w:tc>
      </w:tr>
      <w:tr>
        <w:trPr>
          <w:cantSplit w:val="0"/>
          <w:trHeight w:val="1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Kindergarten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3rd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4th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5th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6th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7th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8th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9th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10th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11th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12th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TOTAL STUDENTS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58</w:t>
            </w:r>
            <w:r w:rsidDel="00000000" w:rsidR="00000000" w:rsidRPr="00000000">
              <w:rPr>
                <w:rtl w:val="0"/>
              </w:rPr>
            </w:r>
          </w:p>
        </w:tc>
      </w:tr>
    </w:tbl>
    <w:p w:rsidR="00000000" w:rsidDel="00000000" w:rsidP="00000000" w:rsidRDefault="00000000" w:rsidRPr="00000000" w14:paraId="00000226">
      <w:pPr>
        <w:spacing w:line="240" w:lineRule="auto"/>
        <w:ind w:left="-1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7">
      <w:pPr>
        <w:spacing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Fonts w:ascii="Times New Roman" w:cs="Times New Roman" w:eastAsia="Times New Roman" w:hAnsi="Times New Roman"/>
          <w:sz w:val="24"/>
          <w:szCs w:val="24"/>
          <w:rtl w:val="0"/>
        </w:rPr>
        <w:t xml:space="preserve"> None</w:t>
      </w:r>
      <w:r w:rsidDel="00000000" w:rsidR="00000000" w:rsidRPr="00000000">
        <w:rPr>
          <w:rtl w:val="0"/>
        </w:rPr>
      </w:r>
    </w:p>
    <w:p w:rsidR="00000000" w:rsidDel="00000000" w:rsidP="00000000" w:rsidRDefault="00000000" w:rsidRPr="00000000" w14:paraId="00000228">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Old Business</w:t>
      </w:r>
      <w:r w:rsidDel="00000000" w:rsidR="00000000" w:rsidRPr="00000000">
        <w:rPr>
          <w:rFonts w:ascii="Times New Roman" w:cs="Times New Roman" w:eastAsia="Times New Roman" w:hAnsi="Times New Roman"/>
          <w:sz w:val="24"/>
          <w:szCs w:val="24"/>
          <w:rtl w:val="0"/>
        </w:rPr>
        <w:t xml:space="preserve"> – None.</w:t>
      </w:r>
    </w:p>
    <w:p w:rsidR="00000000" w:rsidDel="00000000" w:rsidP="00000000" w:rsidRDefault="00000000" w:rsidRPr="00000000" w14:paraId="00000229">
      <w:pPr>
        <w:spacing w:line="240" w:lineRule="auto"/>
        <w:ind w:left="-1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Public Comment – </w:t>
      </w:r>
      <w:r w:rsidDel="00000000" w:rsidR="00000000" w:rsidRPr="00000000">
        <w:rPr>
          <w:rFonts w:ascii="Times New Roman" w:cs="Times New Roman" w:eastAsia="Times New Roman" w:hAnsi="Times New Roman"/>
          <w:color w:val="000000"/>
          <w:sz w:val="24"/>
          <w:szCs w:val="24"/>
          <w:rtl w:val="0"/>
        </w:rPr>
        <w:t xml:space="preserve">None.</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22A">
      <w:pPr>
        <w:spacing w:line="240" w:lineRule="auto"/>
        <w:ind w:left="-1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r>
    </w:p>
    <w:p w:rsidR="00000000" w:rsidDel="00000000" w:rsidP="00000000" w:rsidRDefault="00000000" w:rsidRPr="00000000" w14:paraId="0000022B">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Zona, seconded by Dr. Beams, and unanimously adopted to adjourn the meeting at 8:51 am.</w:t>
      </w:r>
    </w:p>
    <w:p w:rsidR="00000000" w:rsidDel="00000000" w:rsidP="00000000" w:rsidRDefault="00000000" w:rsidRPr="00000000" w14:paraId="0000022C">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Ms. O’Hara, yes; Dr. Savoia, yes; and Mr. Annibale, yes.</w:t>
      </w:r>
    </w:p>
    <w:p w:rsidR="00000000" w:rsidDel="00000000" w:rsidP="00000000" w:rsidRDefault="00000000" w:rsidRPr="00000000" w14:paraId="0000022D">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Respectfully Submitted.</w:t>
      </w:r>
    </w:p>
    <w:p w:rsidR="00000000" w:rsidDel="00000000" w:rsidP="00000000" w:rsidRDefault="00000000" w:rsidRPr="00000000" w14:paraId="0000022F">
      <w:pPr>
        <w:spacing w:line="240" w:lineRule="auto"/>
        <w:ind w:left="-120" w:firstLine="0"/>
        <w:rPr>
          <w:rFonts w:ascii="Lily Script One" w:cs="Lily Script One" w:eastAsia="Lily Script One" w:hAnsi="Lily Script One"/>
          <w:i w:val="1"/>
          <w:sz w:val="28"/>
          <w:szCs w:val="28"/>
        </w:rPr>
      </w:pPr>
      <w:r w:rsidDel="00000000" w:rsidR="00000000" w:rsidRPr="00000000">
        <w:rPr>
          <w:rFonts w:ascii="Times New Roman" w:cs="Times New Roman" w:eastAsia="Times New Roman" w:hAnsi="Times New Roman"/>
          <w:sz w:val="24"/>
          <w:szCs w:val="24"/>
          <w:rtl w:val="0"/>
        </w:rPr>
        <w:tab/>
        <w:tab/>
        <w:tab/>
        <w:tab/>
        <w:tab/>
        <w:tab/>
        <w:tab/>
        <w:tab/>
        <w:tab/>
      </w:r>
      <w:r w:rsidDel="00000000" w:rsidR="00000000" w:rsidRPr="00000000">
        <w:rPr>
          <w:rFonts w:ascii="Lily Script One" w:cs="Lily Script One" w:eastAsia="Lily Script One" w:hAnsi="Lily Script One"/>
          <w:i w:val="1"/>
          <w:sz w:val="28"/>
          <w:szCs w:val="28"/>
          <w:rtl w:val="0"/>
        </w:rPr>
        <w:t xml:space="preserve">Christopher J. Mullins</w:t>
      </w:r>
    </w:p>
    <w:p w:rsidR="00000000" w:rsidDel="00000000" w:rsidP="00000000" w:rsidRDefault="00000000" w:rsidRPr="00000000" w14:paraId="00000230">
      <w:pPr>
        <w:spacing w:line="240" w:lineRule="auto"/>
        <w:ind w:left="-120" w:firstLine="0"/>
        <w:rPr>
          <w:rFonts w:ascii="Times New Roman" w:cs="Times New Roman" w:eastAsia="Times New Roman" w:hAnsi="Times New Roman"/>
          <w:sz w:val="24"/>
          <w:szCs w:val="24"/>
        </w:rPr>
      </w:pPr>
      <w:r w:rsidDel="00000000" w:rsidR="00000000" w:rsidRPr="00000000">
        <w:rPr>
          <w:rFonts w:ascii="Dancing Script" w:cs="Dancing Script" w:eastAsia="Dancing Script" w:hAnsi="Dancing Script"/>
          <w:sz w:val="28"/>
          <w:szCs w:val="28"/>
          <w:rtl w:val="0"/>
        </w:rPr>
        <w:tab/>
        <w:tab/>
        <w:tab/>
        <w:tab/>
        <w:tab/>
        <w:tab/>
        <w:tab/>
        <w:tab/>
        <w:tab/>
        <w:t xml:space="preserve">C</w:t>
      </w:r>
      <w:r w:rsidDel="00000000" w:rsidR="00000000" w:rsidRPr="00000000">
        <w:rPr>
          <w:rFonts w:ascii="Times New Roman" w:cs="Times New Roman" w:eastAsia="Times New Roman" w:hAnsi="Times New Roman"/>
          <w:sz w:val="24"/>
          <w:szCs w:val="24"/>
          <w:rtl w:val="0"/>
        </w:rPr>
        <w:t xml:space="preserve">hristopher J. Mullins</w:t>
      </w:r>
    </w:p>
    <w:p w:rsidR="00000000" w:rsidDel="00000000" w:rsidP="00000000" w:rsidRDefault="00000000" w:rsidRPr="00000000" w14:paraId="00000231">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Board Secretary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Lily Script One">
    <w:embedRegular w:fontKey="{00000000-0000-0000-0000-000000000000}" r:id="rId1" w:subsetted="0"/>
  </w:font>
  <w:font w:name="Dancing Script">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0"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8"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9"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a"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4C49F7"/>
    <w:pPr>
      <w:spacing w:after="100" w:afterAutospacing="1" w:before="100" w:beforeAutospacing="1" w:line="240" w:lineRule="auto"/>
      <w:contextualSpacing w:val="0"/>
    </w:pPr>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967DA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7DA7"/>
    <w:rPr>
      <w:rFonts w:ascii="Tahoma" w:cs="Tahoma" w:hAnsi="Tahoma"/>
      <w:sz w:val="16"/>
      <w:szCs w:val="16"/>
    </w:rPr>
  </w:style>
  <w:style w:type="character" w:styleId="Hyperlink">
    <w:name w:val="Hyperlink"/>
    <w:basedOn w:val="DefaultParagraphFont"/>
    <w:uiPriority w:val="99"/>
    <w:semiHidden w:val="1"/>
    <w:unhideWhenUsed w:val="1"/>
    <w:rsid w:val="00AD4BA3"/>
    <w:rPr>
      <w:color w:val="0000ff"/>
      <w:u w:val="single"/>
    </w:rPr>
  </w:style>
  <w:style w:type="character" w:styleId="apple-tab-span" w:customStyle="1">
    <w:name w:val="apple-tab-span"/>
    <w:basedOn w:val="DefaultParagraphFont"/>
    <w:rsid w:val="006442BC"/>
  </w:style>
  <w:style w:type="numbering" w:styleId="NoList1" w:customStyle="1">
    <w:name w:val="No List1"/>
    <w:next w:val="NoList"/>
    <w:uiPriority w:val="99"/>
    <w:semiHidden w:val="1"/>
    <w:unhideWhenUsed w:val="1"/>
    <w:rsid w:val="004C4247"/>
  </w:style>
  <w:style w:type="paragraph" w:styleId="msonormal0" w:customStyle="1">
    <w:name w:val="msonormal"/>
    <w:basedOn w:val="Normal"/>
    <w:rsid w:val="004C4247"/>
    <w:pPr>
      <w:spacing w:after="100" w:afterAutospacing="1" w:before="100" w:beforeAutospacing="1" w:line="240" w:lineRule="auto"/>
      <w:contextualSpacing w:val="0"/>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lyScriptOne-regular.ttf"/><Relationship Id="rId2" Type="http://schemas.openxmlformats.org/officeDocument/2006/relationships/font" Target="fonts/DancingScript-regular.ttf"/><Relationship Id="rId3"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sA2KzSp9MRpNZnrCcfAwy39+Tg==">AMUW2mWq4OT2uEuxd+tGulFQh1U9Gcm6mfSGX3i+OY3o0cIdQ5UKCtmsMJmOtB2kMQnlpo5A4RFs133viJDuBhSWS6jykUArcEt+cbKxDmxEI8nq77X464fQLtHKUI0I87mj2uxAcKQ7ayBgjIeQQ1lTZuVu1Q+OMazt0LaIbpHKuVHssUYYMqMTgzIlEtnvy0C4fIcBidCz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2021-10-27T15:29:00Z</dcterms:created>
  <dc:creator>Michelle Bangs</dc:creator>
</cp:coreProperties>
</file>